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560FC" w14:textId="77777777" w:rsidR="005E05BF" w:rsidRPr="005E05BF" w:rsidRDefault="005E05BF" w:rsidP="005E05BF">
      <w:pPr>
        <w:autoSpaceDE w:val="0"/>
        <w:autoSpaceDN w:val="0"/>
        <w:adjustRightInd w:val="0"/>
        <w:spacing w:before="120" w:after="60" w:line="240" w:lineRule="auto"/>
        <w:ind w:firstLine="283"/>
        <w:jc w:val="both"/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</w:pPr>
      <w:r w:rsidRPr="005E05BF"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  <w:t>Na osnovu člana 35 Statuta Opštine Tivat (" Sl. list CG - Opštinski propisi", br. 24/18, 09,20), člana 44 Poslovnika o radu Skupštine opštine Tivat ("Sl. list CG- Opštinski propisi", br. 37/18) i člana 5 Odluke o obrazovanju radnih tijela Skupštine (Sl. list RCG Opštinski propisi 08/05) Skupština Opštine Tivat, na sjednici održanoj dana ________.2021. godine, donijela je</w:t>
      </w:r>
    </w:p>
    <w:p w14:paraId="03565BD2" w14:textId="77777777" w:rsidR="005E05BF" w:rsidRPr="005E05BF" w:rsidRDefault="005E05BF" w:rsidP="005E05BF">
      <w:pPr>
        <w:autoSpaceDE w:val="0"/>
        <w:autoSpaceDN w:val="0"/>
        <w:adjustRightInd w:val="0"/>
        <w:spacing w:before="200" w:after="200" w:line="240" w:lineRule="auto"/>
        <w:jc w:val="center"/>
        <w:rPr>
          <w:rFonts w:ascii="Arial" w:eastAsiaTheme="minorEastAsia" w:hAnsi="Arial" w:cs="Arial"/>
          <w:b/>
          <w:bCs/>
          <w:color w:val="000000"/>
          <w:sz w:val="24"/>
          <w:szCs w:val="24"/>
          <w:lang w:eastAsia="sr-Latn-ME"/>
        </w:rPr>
      </w:pPr>
    </w:p>
    <w:p w14:paraId="230D4A94" w14:textId="77777777" w:rsidR="005E05BF" w:rsidRPr="005E05BF" w:rsidRDefault="005E05BF" w:rsidP="005E05BF">
      <w:pPr>
        <w:autoSpaceDE w:val="0"/>
        <w:autoSpaceDN w:val="0"/>
        <w:adjustRightInd w:val="0"/>
        <w:spacing w:before="200" w:after="200" w:line="240" w:lineRule="auto"/>
        <w:jc w:val="center"/>
        <w:rPr>
          <w:rFonts w:ascii="Arial" w:eastAsiaTheme="minorEastAsia" w:hAnsi="Arial" w:cs="Arial"/>
          <w:b/>
          <w:bCs/>
          <w:color w:val="000000"/>
          <w:sz w:val="24"/>
          <w:szCs w:val="24"/>
          <w:lang w:eastAsia="sr-Latn-ME"/>
        </w:rPr>
      </w:pPr>
      <w:r w:rsidRPr="005E05BF">
        <w:rPr>
          <w:rFonts w:ascii="Arial" w:eastAsiaTheme="minorEastAsia" w:hAnsi="Arial" w:cs="Arial"/>
          <w:b/>
          <w:bCs/>
          <w:color w:val="000000"/>
          <w:sz w:val="24"/>
          <w:szCs w:val="24"/>
          <w:lang w:eastAsia="sr-Latn-ME"/>
        </w:rPr>
        <w:t>ODLUKU</w:t>
      </w:r>
    </w:p>
    <w:p w14:paraId="4FF2DE95" w14:textId="77777777" w:rsidR="005E05BF" w:rsidRPr="005E05BF" w:rsidRDefault="005E05BF" w:rsidP="005E05BF">
      <w:pPr>
        <w:autoSpaceDE w:val="0"/>
        <w:autoSpaceDN w:val="0"/>
        <w:adjustRightInd w:val="0"/>
        <w:spacing w:before="200" w:after="200" w:line="240" w:lineRule="auto"/>
        <w:jc w:val="center"/>
        <w:rPr>
          <w:rFonts w:ascii="Arial" w:eastAsiaTheme="minorEastAsia" w:hAnsi="Arial" w:cs="Arial"/>
          <w:b/>
          <w:bCs/>
          <w:color w:val="000000"/>
          <w:sz w:val="24"/>
          <w:szCs w:val="24"/>
          <w:lang w:eastAsia="sr-Latn-ME"/>
        </w:rPr>
      </w:pPr>
      <w:r w:rsidRPr="005E05BF">
        <w:rPr>
          <w:rFonts w:ascii="Arial" w:eastAsiaTheme="minorEastAsia" w:hAnsi="Arial" w:cs="Arial"/>
          <w:b/>
          <w:bCs/>
          <w:color w:val="000000"/>
          <w:sz w:val="24"/>
          <w:szCs w:val="24"/>
          <w:lang w:eastAsia="sr-Latn-ME"/>
        </w:rPr>
        <w:t>o razrješenju predsjednice Savjeta za zaštitu životne sredine</w:t>
      </w:r>
    </w:p>
    <w:p w14:paraId="3351C805" w14:textId="77777777" w:rsidR="005E05BF" w:rsidRPr="005E05BF" w:rsidRDefault="005E05BF" w:rsidP="005E05BF">
      <w:pPr>
        <w:autoSpaceDE w:val="0"/>
        <w:autoSpaceDN w:val="0"/>
        <w:adjustRightInd w:val="0"/>
        <w:spacing w:before="200" w:after="200" w:line="240" w:lineRule="auto"/>
        <w:jc w:val="center"/>
        <w:rPr>
          <w:rFonts w:ascii="Arial" w:eastAsiaTheme="minorEastAsia" w:hAnsi="Arial" w:cs="Arial"/>
          <w:b/>
          <w:bCs/>
          <w:color w:val="000000"/>
          <w:sz w:val="24"/>
          <w:szCs w:val="24"/>
          <w:lang w:eastAsia="sr-Latn-ME"/>
        </w:rPr>
      </w:pPr>
    </w:p>
    <w:p w14:paraId="6373275B" w14:textId="77777777" w:rsidR="005E05BF" w:rsidRPr="005E05BF" w:rsidRDefault="005E05BF" w:rsidP="005E05BF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Arial" w:eastAsiaTheme="minorEastAsia" w:hAnsi="Arial" w:cs="Arial"/>
          <w:b/>
          <w:bCs/>
          <w:color w:val="000000"/>
          <w:sz w:val="24"/>
          <w:szCs w:val="24"/>
          <w:lang w:eastAsia="sr-Latn-ME"/>
        </w:rPr>
      </w:pPr>
      <w:r w:rsidRPr="005E05BF">
        <w:rPr>
          <w:rFonts w:ascii="Arial" w:eastAsiaTheme="minorEastAsia" w:hAnsi="Arial" w:cs="Arial"/>
          <w:b/>
          <w:bCs/>
          <w:color w:val="000000"/>
          <w:sz w:val="24"/>
          <w:szCs w:val="24"/>
          <w:lang w:eastAsia="sr-Latn-ME"/>
        </w:rPr>
        <w:t>Član 1</w:t>
      </w:r>
    </w:p>
    <w:p w14:paraId="53B9A918" w14:textId="77777777" w:rsidR="005E05BF" w:rsidRPr="005E05BF" w:rsidRDefault="005E05BF" w:rsidP="005E05BF">
      <w:pPr>
        <w:autoSpaceDE w:val="0"/>
        <w:autoSpaceDN w:val="0"/>
        <w:adjustRightInd w:val="0"/>
        <w:spacing w:before="60" w:after="60" w:line="240" w:lineRule="auto"/>
        <w:jc w:val="both"/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</w:pPr>
      <w:r w:rsidRPr="005E05BF"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  <w:t xml:space="preserve">   Razrješava se Tijana Dragojević dužnosti predsjednice Savjeta za zaštitu životne sredine, na lični zahtjev.</w:t>
      </w:r>
    </w:p>
    <w:p w14:paraId="1498F229" w14:textId="77777777" w:rsidR="005E05BF" w:rsidRPr="005E05BF" w:rsidRDefault="005E05BF" w:rsidP="005E05BF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</w:pPr>
      <w:r w:rsidRPr="005E05BF"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  <w:t xml:space="preserve"> </w:t>
      </w:r>
    </w:p>
    <w:p w14:paraId="4A8ECCB6" w14:textId="77777777" w:rsidR="005E05BF" w:rsidRPr="005E05BF" w:rsidRDefault="005E05BF" w:rsidP="005E05BF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Arial" w:eastAsiaTheme="minorEastAsia" w:hAnsi="Arial" w:cs="Arial"/>
          <w:b/>
          <w:bCs/>
          <w:color w:val="000000"/>
          <w:sz w:val="24"/>
          <w:szCs w:val="24"/>
          <w:lang w:eastAsia="sr-Latn-ME"/>
        </w:rPr>
      </w:pPr>
      <w:r w:rsidRPr="005E05BF">
        <w:rPr>
          <w:rFonts w:ascii="Arial" w:eastAsiaTheme="minorEastAsia" w:hAnsi="Arial" w:cs="Arial"/>
          <w:b/>
          <w:bCs/>
          <w:color w:val="000000"/>
          <w:sz w:val="24"/>
          <w:szCs w:val="24"/>
          <w:lang w:eastAsia="sr-Latn-ME"/>
        </w:rPr>
        <w:t>Član 2</w:t>
      </w:r>
    </w:p>
    <w:p w14:paraId="63503656" w14:textId="77777777" w:rsidR="005E05BF" w:rsidRPr="005E05BF" w:rsidRDefault="005E05BF" w:rsidP="005E05BF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</w:pPr>
    </w:p>
    <w:p w14:paraId="17416161" w14:textId="77777777" w:rsidR="005E05BF" w:rsidRPr="005E05BF" w:rsidRDefault="005E05BF" w:rsidP="005E05BF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</w:pPr>
      <w:r w:rsidRPr="005E05BF"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  <w:t>Ova odluka stupa na snagu osmog dana od dana objavljivanja u "Sl. listu CG- Opštinski propisi".</w:t>
      </w:r>
    </w:p>
    <w:p w14:paraId="42417B70" w14:textId="77777777" w:rsidR="005E05BF" w:rsidRPr="005E05BF" w:rsidRDefault="005E05BF" w:rsidP="005E05BF">
      <w:pPr>
        <w:autoSpaceDE w:val="0"/>
        <w:autoSpaceDN w:val="0"/>
        <w:adjustRightInd w:val="0"/>
        <w:spacing w:before="60" w:after="60" w:line="240" w:lineRule="auto"/>
        <w:ind w:firstLine="283"/>
        <w:jc w:val="both"/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</w:pPr>
    </w:p>
    <w:p w14:paraId="6529502D" w14:textId="77777777" w:rsidR="005E05BF" w:rsidRPr="005E05BF" w:rsidRDefault="005E05BF" w:rsidP="005E05BF">
      <w:pPr>
        <w:autoSpaceDE w:val="0"/>
        <w:autoSpaceDN w:val="0"/>
        <w:adjustRightInd w:val="0"/>
        <w:spacing w:before="60" w:after="60" w:line="240" w:lineRule="auto"/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</w:pPr>
      <w:r w:rsidRPr="005E05BF"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  <w:t>Broj</w:t>
      </w:r>
    </w:p>
    <w:p w14:paraId="7CF5BC0A" w14:textId="77777777" w:rsidR="005E05BF" w:rsidRPr="005E05BF" w:rsidRDefault="005E05BF" w:rsidP="005E05BF">
      <w:pPr>
        <w:autoSpaceDE w:val="0"/>
        <w:autoSpaceDN w:val="0"/>
        <w:adjustRightInd w:val="0"/>
        <w:spacing w:before="60" w:after="60" w:line="240" w:lineRule="auto"/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</w:pPr>
      <w:r w:rsidRPr="005E05BF"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  <w:t>Tivat,</w:t>
      </w:r>
    </w:p>
    <w:p w14:paraId="7A3BC8D6" w14:textId="77777777" w:rsidR="005E05BF" w:rsidRPr="005E05BF" w:rsidRDefault="005E05BF" w:rsidP="005E05BF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</w:pPr>
    </w:p>
    <w:p w14:paraId="6294A7A9" w14:textId="77777777" w:rsidR="005E05BF" w:rsidRPr="005E05BF" w:rsidRDefault="005E05BF" w:rsidP="005E05BF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</w:pPr>
      <w:r w:rsidRPr="005E05BF"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  <w:t>Skupština opštine Tivat</w:t>
      </w:r>
    </w:p>
    <w:p w14:paraId="7BF0EA37" w14:textId="77777777" w:rsidR="005E05BF" w:rsidRPr="005E05BF" w:rsidRDefault="005E05BF" w:rsidP="005E05BF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</w:pPr>
      <w:r w:rsidRPr="005E05BF"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  <w:t>Predsjednik,</w:t>
      </w:r>
    </w:p>
    <w:p w14:paraId="6456286E" w14:textId="77777777" w:rsidR="005E05BF" w:rsidRPr="005E05BF" w:rsidRDefault="005E05BF" w:rsidP="005E05BF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</w:pPr>
      <w:r w:rsidRPr="005E05BF">
        <w:rPr>
          <w:rFonts w:ascii="Arial" w:eastAsiaTheme="minorEastAsia" w:hAnsi="Arial" w:cs="Arial"/>
          <w:color w:val="000000"/>
          <w:sz w:val="24"/>
          <w:szCs w:val="24"/>
          <w:lang w:eastAsia="sr-Latn-ME"/>
        </w:rPr>
        <w:t>dr Andrija Petković</w:t>
      </w:r>
    </w:p>
    <w:p w14:paraId="5859E5E4" w14:textId="77777777" w:rsidR="005E05BF" w:rsidRPr="005E05BF" w:rsidRDefault="005E05BF" w:rsidP="005E05BF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Theme="minorEastAsia" w:hAnsi="Tahoma" w:cs="Tahoma"/>
          <w:color w:val="000000"/>
          <w:sz w:val="20"/>
          <w:szCs w:val="20"/>
          <w:lang w:eastAsia="sr-Latn-ME"/>
        </w:rPr>
      </w:pPr>
    </w:p>
    <w:p w14:paraId="0BD5452E" w14:textId="77777777" w:rsidR="005E05BF" w:rsidRPr="005E05BF" w:rsidRDefault="005E05BF" w:rsidP="005E05B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Theme="minorEastAsia" w:hAnsi="Tahoma" w:cs="Tahoma"/>
          <w:color w:val="000000"/>
          <w:sz w:val="20"/>
          <w:szCs w:val="20"/>
          <w:lang w:eastAsia="sr-Latn-ME"/>
        </w:rPr>
      </w:pPr>
    </w:p>
    <w:p w14:paraId="0FCBB807" w14:textId="77777777" w:rsidR="005E05BF" w:rsidRPr="005E05BF" w:rsidRDefault="005E05BF" w:rsidP="005E05BF">
      <w:pPr>
        <w:spacing w:after="200" w:line="276" w:lineRule="auto"/>
        <w:contextualSpacing/>
        <w:jc w:val="center"/>
        <w:rPr>
          <w:rFonts w:ascii="Times New Roman" w:eastAsiaTheme="minorEastAsia" w:hAnsi="Times New Roman" w:cs="Times New Roman"/>
          <w:sz w:val="24"/>
          <w:szCs w:val="24"/>
          <w:lang w:val="sr-Latn-RS"/>
        </w:rPr>
      </w:pPr>
    </w:p>
    <w:p w14:paraId="155F8E81" w14:textId="77777777" w:rsidR="005E05BF" w:rsidRPr="005E05BF" w:rsidRDefault="005E05BF" w:rsidP="005E05BF">
      <w:pPr>
        <w:spacing w:after="200" w:line="276" w:lineRule="auto"/>
        <w:contextualSpacing/>
        <w:jc w:val="center"/>
        <w:rPr>
          <w:rFonts w:ascii="Arial" w:eastAsiaTheme="minorEastAsia" w:hAnsi="Arial" w:cs="Arial"/>
          <w:sz w:val="24"/>
          <w:szCs w:val="24"/>
          <w:lang w:val="sr-Latn-RS"/>
        </w:rPr>
      </w:pPr>
      <w:r w:rsidRPr="005E05BF">
        <w:rPr>
          <w:rFonts w:ascii="Arial" w:eastAsiaTheme="minorEastAsia" w:hAnsi="Arial" w:cs="Arial"/>
          <w:sz w:val="24"/>
          <w:szCs w:val="24"/>
          <w:lang w:val="sr-Latn-RS"/>
        </w:rPr>
        <w:t>OBRAZLOŽENJE</w:t>
      </w:r>
    </w:p>
    <w:p w14:paraId="0DEAB9EA" w14:textId="77777777" w:rsidR="005E05BF" w:rsidRPr="005E05BF" w:rsidRDefault="005E05BF" w:rsidP="005E05BF">
      <w:pPr>
        <w:spacing w:after="200" w:line="276" w:lineRule="auto"/>
        <w:contextualSpacing/>
        <w:jc w:val="center"/>
        <w:rPr>
          <w:rFonts w:ascii="Arial" w:eastAsiaTheme="minorEastAsia" w:hAnsi="Arial" w:cs="Arial"/>
          <w:sz w:val="24"/>
          <w:szCs w:val="24"/>
          <w:lang w:val="sr-Latn-RS"/>
        </w:rPr>
      </w:pPr>
    </w:p>
    <w:p w14:paraId="00EB11B1" w14:textId="77777777" w:rsidR="005E05BF" w:rsidRPr="005E05BF" w:rsidRDefault="005E05BF" w:rsidP="005E05BF">
      <w:pPr>
        <w:spacing w:after="200" w:line="276" w:lineRule="auto"/>
        <w:contextualSpacing/>
        <w:jc w:val="both"/>
        <w:rPr>
          <w:rFonts w:ascii="Arial" w:eastAsiaTheme="minorEastAsia" w:hAnsi="Arial" w:cs="Arial"/>
          <w:sz w:val="24"/>
          <w:szCs w:val="24"/>
          <w:lang w:val="sr-Latn-RS"/>
        </w:rPr>
      </w:pPr>
      <w:r w:rsidRPr="005E05BF">
        <w:rPr>
          <w:rFonts w:ascii="Arial" w:eastAsiaTheme="minorEastAsia" w:hAnsi="Arial" w:cs="Arial"/>
          <w:sz w:val="24"/>
          <w:szCs w:val="24"/>
          <w:lang w:val="sr-Latn-RS"/>
        </w:rPr>
        <w:t>Pravni osnov za donošenje ove odluke sadržan je u članu 35 Statuta opštine Tivat kojim je propisano da Skupština  donosi propise i druge opšte akte. Nadalje, članom 44 Poslovnika o radu  Skupštine propisano je da mandat predsjednika i članova radnih tijela traje koliko i mandat Skupštine, odnosno do dana razrješenja od dužnosti na koju su izabrani, što je takođe propisano i članom 5 Odluke o obrazovanju radnih tijela Skupštine. Kako je Tijana Dragojević podnijela ostavku na mjesto predsjednice Savjeta, to se pristupilo izradi ove odluke i predlaže se njeno usvajanje.</w:t>
      </w:r>
    </w:p>
    <w:p w14:paraId="551251F2" w14:textId="77777777" w:rsidR="005E05BF" w:rsidRPr="005E05BF" w:rsidRDefault="005E05BF" w:rsidP="005E05BF">
      <w:pPr>
        <w:spacing w:after="200" w:line="276" w:lineRule="auto"/>
        <w:contextualSpacing/>
        <w:jc w:val="both"/>
        <w:rPr>
          <w:rFonts w:ascii="Arial" w:eastAsiaTheme="minorEastAsia" w:hAnsi="Arial" w:cs="Arial"/>
          <w:sz w:val="24"/>
          <w:szCs w:val="24"/>
          <w:lang w:val="sr-Latn-RS"/>
        </w:rPr>
      </w:pPr>
    </w:p>
    <w:p w14:paraId="3ADE95EB" w14:textId="77777777" w:rsidR="005E05BF" w:rsidRPr="005E05BF" w:rsidRDefault="005E05BF" w:rsidP="005E05BF">
      <w:pPr>
        <w:spacing w:after="200" w:line="276" w:lineRule="auto"/>
        <w:contextualSpacing/>
        <w:jc w:val="right"/>
        <w:rPr>
          <w:rFonts w:ascii="Arial" w:eastAsiaTheme="minorEastAsia" w:hAnsi="Arial" w:cs="Arial"/>
          <w:sz w:val="24"/>
          <w:szCs w:val="24"/>
          <w:lang w:val="sr-Latn-RS"/>
        </w:rPr>
      </w:pPr>
      <w:r w:rsidRPr="005E05BF">
        <w:rPr>
          <w:rFonts w:ascii="Arial" w:eastAsiaTheme="minorEastAsia" w:hAnsi="Arial" w:cs="Arial"/>
          <w:sz w:val="24"/>
          <w:szCs w:val="24"/>
          <w:lang w:val="sr-Latn-RS"/>
        </w:rPr>
        <w:t>Obrađivač</w:t>
      </w:r>
    </w:p>
    <w:p w14:paraId="082A37FC" w14:textId="77777777" w:rsidR="005E05BF" w:rsidRPr="005E05BF" w:rsidRDefault="005E05BF" w:rsidP="005E05BF">
      <w:pPr>
        <w:spacing w:after="200" w:line="276" w:lineRule="auto"/>
        <w:contextualSpacing/>
        <w:jc w:val="right"/>
        <w:rPr>
          <w:rFonts w:ascii="Arial" w:eastAsiaTheme="minorEastAsia" w:hAnsi="Arial" w:cs="Arial"/>
          <w:sz w:val="24"/>
          <w:szCs w:val="24"/>
          <w:lang w:val="sr-Latn-RS"/>
        </w:rPr>
      </w:pPr>
      <w:r w:rsidRPr="005E05BF">
        <w:rPr>
          <w:rFonts w:ascii="Arial" w:eastAsiaTheme="minorEastAsia" w:hAnsi="Arial" w:cs="Arial"/>
          <w:sz w:val="24"/>
          <w:szCs w:val="24"/>
          <w:lang w:val="sr-Latn-RS"/>
        </w:rPr>
        <w:t xml:space="preserve">Služba Skupštine </w:t>
      </w:r>
    </w:p>
    <w:p w14:paraId="56B26954" w14:textId="77777777" w:rsidR="005E05BF" w:rsidRPr="005E05BF" w:rsidRDefault="005E05BF" w:rsidP="005E05BF">
      <w:pPr>
        <w:spacing w:after="200" w:line="276" w:lineRule="auto"/>
        <w:contextualSpacing/>
        <w:jc w:val="both"/>
        <w:rPr>
          <w:rFonts w:ascii="Arial" w:eastAsiaTheme="minorEastAsia" w:hAnsi="Arial" w:cs="Arial"/>
          <w:sz w:val="24"/>
          <w:szCs w:val="24"/>
          <w:lang w:val="sr-Latn-RS"/>
        </w:rPr>
      </w:pPr>
    </w:p>
    <w:p w14:paraId="157FB0DB" w14:textId="77777777" w:rsidR="005E05BF" w:rsidRPr="005E05BF" w:rsidRDefault="005E05BF" w:rsidP="005E05BF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Arial" w:eastAsiaTheme="minorEastAsia" w:hAnsi="Arial" w:cs="Arial"/>
          <w:b/>
          <w:bCs/>
          <w:color w:val="000000"/>
          <w:sz w:val="24"/>
          <w:szCs w:val="24"/>
          <w:lang w:eastAsia="sr-Latn-ME"/>
        </w:rPr>
      </w:pPr>
    </w:p>
    <w:p w14:paraId="3C10BC57" w14:textId="77777777" w:rsidR="00CF7F31" w:rsidRDefault="00CF7F31"/>
    <w:sectPr w:rsidR="00CF7F31">
      <w:headerReference w:type="even" r:id="rId4"/>
      <w:footerReference w:type="even" r:id="rId5"/>
      <w:pgSz w:w="11906" w:h="16838"/>
      <w:pgMar w:top="850" w:right="850" w:bottom="850" w:left="850" w:header="56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top w:w="40" w:type="dxa"/>
        <w:left w:w="0" w:type="dxa"/>
        <w:bottom w:w="40" w:type="dxa"/>
        <w:right w:w="0" w:type="dxa"/>
      </w:tblCellMar>
      <w:tblLook w:val="0000" w:firstRow="0" w:lastRow="0" w:firstColumn="0" w:lastColumn="0" w:noHBand="0" w:noVBand="0"/>
    </w:tblPr>
    <w:tblGrid>
      <w:gridCol w:w="5102"/>
      <w:gridCol w:w="5103"/>
    </w:tblGrid>
    <w:tr w:rsidR="003F7EBF" w14:paraId="5F9BF8EA" w14:textId="77777777">
      <w:tblPrEx>
        <w:tblCellMar>
          <w:left w:w="0" w:type="dxa"/>
          <w:right w:w="0" w:type="dxa"/>
        </w:tblCellMar>
      </w:tblPrEx>
      <w:trPr>
        <w:cantSplit/>
        <w:trHeight w:val="240"/>
      </w:trPr>
      <w:tc>
        <w:tcPr>
          <w:tcW w:w="5102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14:paraId="06C238CC" w14:textId="77777777" w:rsidR="003F7EBF" w:rsidRDefault="005E05BF">
          <w:pPr>
            <w:pStyle w:val="Fotter"/>
          </w:pPr>
          <w:hyperlink w:anchor="http___www_katalogpropisa_me" w:history="1">
            <w:r>
              <w:rPr>
                <w:rStyle w:val="Hyperlink"/>
              </w:rPr>
              <w:t xml:space="preserve">Pravni </w:t>
            </w:r>
            <w:r>
              <w:rPr>
                <w:rStyle w:val="Hyperlink"/>
              </w:rPr>
              <w:t>ekspert doo, Podgorica</w:t>
            </w:r>
          </w:hyperlink>
        </w:p>
      </w:tc>
      <w:tc>
        <w:tcPr>
          <w:tcW w:w="5103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14:paraId="64099B69" w14:textId="77777777" w:rsidR="003F7EBF" w:rsidRDefault="005E05BF">
          <w:pPr>
            <w:pStyle w:val="Fotter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&lt; Please update this field. &gt;</w:t>
          </w:r>
          <w: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08644" w14:textId="77777777" w:rsidR="003F7EBF" w:rsidRDefault="005E05BF">
    <w:pPr>
      <w:pStyle w:val="Header"/>
    </w:pPr>
    <w:r>
      <w:t>Katalog propisa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5BF"/>
    <w:rsid w:val="005E05BF"/>
    <w:rsid w:val="00CF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AA41"/>
  <w15:chartTrackingRefBased/>
  <w15:docId w15:val="{F0757375-C10C-4000-92FA-054046EC0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E05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05BF"/>
  </w:style>
  <w:style w:type="character" w:styleId="Hyperlink">
    <w:name w:val="Hyperlink"/>
    <w:basedOn w:val="DefaultParagraphFont"/>
    <w:uiPriority w:val="99"/>
    <w:rsid w:val="005E05BF"/>
    <w:rPr>
      <w:rFonts w:cs="Times New Roman"/>
    </w:rPr>
  </w:style>
  <w:style w:type="paragraph" w:customStyle="1" w:styleId="Fotter">
    <w:name w:val="Fotter"/>
    <w:basedOn w:val="Normal"/>
    <w:uiPriority w:val="99"/>
    <w:rsid w:val="005E05BF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b/>
      <w:bCs/>
      <w:color w:val="4682B4"/>
      <w:sz w:val="18"/>
      <w:szCs w:val="18"/>
      <w:lang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Arandjus</dc:creator>
  <cp:keywords/>
  <dc:description/>
  <cp:lastModifiedBy>Ivana Arandjus</cp:lastModifiedBy>
  <cp:revision>1</cp:revision>
  <dcterms:created xsi:type="dcterms:W3CDTF">2021-06-20T09:37:00Z</dcterms:created>
  <dcterms:modified xsi:type="dcterms:W3CDTF">2021-06-20T09:38:00Z</dcterms:modified>
</cp:coreProperties>
</file>